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02"/>
        <w:gridCol w:w="5528"/>
      </w:tblGrid>
      <w:tr>
        <w:trPr>
          <w:trHeight w:val="416" w:hRule="atLeast"/>
        </w:trPr>
        <w:tc>
          <w:tcPr>
            <w:tcW w:w="10030" w:type="dxa"/>
            <w:gridSpan w:val="2"/>
            <w:tcBorders>
              <w:top w:val="single" w:sz="18" w:space="0" w:color="000000"/>
              <w:left w:val="single" w:sz="18" w:space="0" w:color="000000"/>
              <w:bottom w:val="single" w:sz="2" w:space="0" w:color="000000"/>
              <w:right w:val="single" w:sz="18" w:space="0" w:color="000000"/>
            </w:tcBorders>
            <w:vAlign w:val="center"/>
          </w:tcPr>
          <w:p>
            <w:pPr>
              <w:pStyle w:val="Normal"/>
              <w:widowControl w:val="false"/>
              <w:jc w:val="center"/>
              <w:rPr>
                <w:rFonts w:ascii="Calibri" w:hAnsi="Calibri" w:cs="Arial" w:asciiTheme="minorHAnsi" w:hAnsiTheme="minorHAnsi"/>
                <w:b/>
                <w:b/>
                <w:sz w:val="20"/>
              </w:rPr>
            </w:pPr>
            <w:r>
              <w:rPr>
                <w:rFonts w:cs="Arial" w:ascii="Calibri" w:hAnsi="Calibri"/>
                <w:b/>
                <w:sz w:val="20"/>
              </w:rPr>
            </w:r>
          </w:p>
          <w:p>
            <w:pPr>
              <w:pStyle w:val="Normal"/>
              <w:widowControl w:val="false"/>
              <w:jc w:val="center"/>
              <w:rPr>
                <w:rFonts w:ascii="Calibri" w:hAnsi="Calibri" w:cs="Arial" w:asciiTheme="minorHAnsi" w:hAnsiTheme="minorHAnsi"/>
                <w:b/>
                <w:b/>
                <w:sz w:val="20"/>
              </w:rPr>
            </w:pPr>
            <w:r>
              <w:rPr>
                <w:rFonts w:cs="Arial" w:ascii="Calibri" w:hAnsi="Calibri" w:asciiTheme="minorHAnsi" w:hAnsiTheme="minorHAnsi"/>
                <w:b/>
                <w:sz w:val="20"/>
              </w:rPr>
              <w:t xml:space="preserve">OBRAZAC </w:t>
            </w:r>
          </w:p>
          <w:p>
            <w:pPr>
              <w:pStyle w:val="Normal"/>
              <w:widowControl w:val="false"/>
              <w:jc w:val="center"/>
              <w:rPr>
                <w:rFonts w:ascii="Calibri" w:hAnsi="Calibri" w:cs="Arial" w:asciiTheme="minorHAnsi" w:hAnsiTheme="minorHAnsi"/>
                <w:b/>
                <w:b/>
                <w:sz w:val="20"/>
              </w:rPr>
            </w:pPr>
            <w:r>
              <w:rPr>
                <w:rFonts w:cs="Arial" w:ascii="Calibri" w:hAnsi="Calibri" w:asciiTheme="minorHAnsi" w:hAnsiTheme="minorHAnsi"/>
                <w:b/>
                <w:sz w:val="20"/>
              </w:rPr>
              <w:t xml:space="preserve">sudjelovanja javnosti u savjetovanju o nacrtu Odluke o općinskim porezima Općine Hrvatska Dubica </w:t>
            </w:r>
          </w:p>
          <w:p>
            <w:pPr>
              <w:pStyle w:val="Normal"/>
              <w:widowControl w:val="false"/>
              <w:jc w:val="center"/>
              <w:rPr>
                <w:rFonts w:ascii="Calibri" w:hAnsi="Calibri" w:cs="Arial" w:asciiTheme="minorHAnsi" w:hAnsiTheme="minorHAnsi"/>
                <w:b/>
                <w:b/>
                <w:sz w:val="20"/>
              </w:rPr>
            </w:pPr>
            <w:r>
              <w:rPr>
                <w:rFonts w:cs="Arial" w:ascii="Calibri" w:hAnsi="Calibri"/>
                <w:b/>
                <w:sz w:val="20"/>
              </w:rPr>
            </w:r>
          </w:p>
        </w:tc>
      </w:tr>
      <w:tr>
        <w:trPr>
          <w:trHeight w:val="415" w:hRule="atLeast"/>
        </w:trPr>
        <w:tc>
          <w:tcPr>
            <w:tcW w:w="4502" w:type="dxa"/>
            <w:tcBorders>
              <w:top w:val="single" w:sz="2" w:space="0" w:color="000000"/>
              <w:left w:val="single" w:sz="18" w:space="0" w:color="000000"/>
              <w:bottom w:val="single" w:sz="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Naziv akta o kojem je savjetovanje provodi:</w:t>
            </w:r>
          </w:p>
        </w:tc>
        <w:tc>
          <w:tcPr>
            <w:tcW w:w="5528" w:type="dxa"/>
            <w:tcBorders>
              <w:top w:val="single" w:sz="2" w:space="0" w:color="000000"/>
              <w:left w:val="single" w:sz="12" w:space="0" w:color="000000"/>
              <w:bottom w:val="single" w:sz="2" w:space="0" w:color="000000"/>
              <w:right w:val="single" w:sz="18" w:space="0" w:color="000000"/>
            </w:tcBorders>
            <w:vAlign w:val="center"/>
          </w:tcPr>
          <w:p>
            <w:pPr>
              <w:pStyle w:val="Normal"/>
              <w:widowControl w:val="false"/>
              <w:rPr>
                <w:rFonts w:ascii="Calibri" w:hAnsi="Calibri" w:cs="Arial" w:asciiTheme="minorHAnsi" w:hAnsiTheme="minorHAnsi"/>
                <w:bCs/>
                <w:sz w:val="20"/>
              </w:rPr>
            </w:pPr>
            <w:r>
              <w:rPr>
                <w:rFonts w:cs="Arial" w:ascii="Calibri" w:hAnsi="Calibri" w:asciiTheme="minorHAnsi" w:hAnsiTheme="minorHAnsi"/>
                <w:bCs/>
                <w:sz w:val="20"/>
              </w:rPr>
              <w:t>Nacrt Odluke o općinskim porezima Općine Hrvatska Dubica</w:t>
            </w:r>
          </w:p>
        </w:tc>
      </w:tr>
      <w:tr>
        <w:trPr>
          <w:trHeight w:val="845" w:hRule="atLeast"/>
        </w:trPr>
        <w:tc>
          <w:tcPr>
            <w:tcW w:w="4502" w:type="dxa"/>
            <w:tcBorders>
              <w:top w:val="single" w:sz="2" w:space="0" w:color="000000"/>
              <w:left w:val="single" w:sz="18" w:space="0" w:color="000000"/>
              <w:bottom w:val="single" w:sz="12" w:space="0" w:color="000000"/>
              <w:right w:val="single" w:sz="12" w:space="0" w:color="000000"/>
            </w:tcBorders>
            <w:vAlign w:val="center"/>
          </w:tcPr>
          <w:p>
            <w:pPr>
              <w:pStyle w:val="NoSpacing"/>
              <w:widowControl w:val="false"/>
              <w:jc w:val="both"/>
              <w:rPr>
                <w:rFonts w:ascii="Calibri" w:hAnsi="Calibri" w:cs="Arial" w:asciiTheme="minorHAnsi" w:hAnsiTheme="minorHAnsi"/>
                <w:sz w:val="20"/>
                <w:szCs w:val="20"/>
              </w:rPr>
            </w:pPr>
            <w:r>
              <w:rPr>
                <w:rFonts w:cs="Arial" w:ascii="Calibri" w:hAnsi="Calibri" w:asciiTheme="minorHAnsi" w:hAnsiTheme="minorHAnsi"/>
                <w:sz w:val="20"/>
                <w:szCs w:val="20"/>
              </w:rPr>
              <w:t xml:space="preserve">Vrijeme trajanja savjetovanja: </w:t>
            </w:r>
          </w:p>
        </w:tc>
        <w:tc>
          <w:tcPr>
            <w:tcW w:w="5528" w:type="dxa"/>
            <w:tcBorders>
              <w:top w:val="single" w:sz="2" w:space="0" w:color="000000"/>
              <w:left w:val="single" w:sz="12" w:space="0" w:color="000000"/>
              <w:bottom w:val="single" w:sz="12" w:space="0" w:color="000000"/>
              <w:right w:val="single" w:sz="18" w:space="0" w:color="000000"/>
            </w:tcBorders>
            <w:vAlign w:val="center"/>
          </w:tcPr>
          <w:p>
            <w:pPr>
              <w:pStyle w:val="NoSpacing"/>
              <w:widowControl w:val="false"/>
              <w:jc w:val="both"/>
              <w:rPr>
                <w:rFonts w:ascii="Calibri" w:hAnsi="Calibri" w:cs="Arial" w:asciiTheme="minorHAnsi" w:hAnsiTheme="minorHAnsi"/>
                <w:sz w:val="20"/>
                <w:szCs w:val="20"/>
              </w:rPr>
            </w:pPr>
            <w:r>
              <w:rPr>
                <w:rFonts w:cs="Arial" w:ascii="Calibri" w:hAnsi="Calibri" w:asciiTheme="minorHAnsi" w:hAnsiTheme="minorHAnsi"/>
                <w:sz w:val="20"/>
                <w:szCs w:val="20"/>
              </w:rPr>
              <w:t>.25. listopada 2023. – 24. studenoga 2023.</w:t>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 xml:space="preserve">Naziv upravnog tijela nadležnog za izradu nacrta: </w:t>
            </w:r>
          </w:p>
        </w:tc>
        <w:tc>
          <w:tcPr>
            <w:tcW w:w="5528" w:type="dxa"/>
            <w:tcBorders>
              <w:top w:val="single" w:sz="12" w:space="0" w:color="000000"/>
              <w:left w:val="single" w:sz="12" w:space="0" w:color="000000"/>
              <w:bottom w:val="single" w:sz="12" w:space="0" w:color="000000"/>
              <w:right w:val="single" w:sz="18" w:space="0" w:color="000000"/>
            </w:tcBorders>
            <w:vAlign w:val="bottom"/>
          </w:tcPr>
          <w:p>
            <w:pPr>
              <w:pStyle w:val="Default"/>
              <w:widowControl w:val="false"/>
              <w:rPr>
                <w:rFonts w:ascii="Calibri" w:hAnsi="Calibri" w:asciiTheme="minorHAnsi" w:hAnsiTheme="minorHAnsi"/>
                <w:sz w:val="20"/>
                <w:szCs w:val="20"/>
              </w:rPr>
            </w:pPr>
            <w:r>
              <w:rPr>
                <w:rFonts w:ascii="Calibri" w:hAnsi="Calibri" w:asciiTheme="minorHAnsi" w:hAnsiTheme="minorHAnsi"/>
                <w:sz w:val="20"/>
                <w:szCs w:val="20"/>
              </w:rPr>
              <w:t xml:space="preserve">Jedinstveni upravni odjel </w:t>
            </w:r>
          </w:p>
          <w:p>
            <w:pPr>
              <w:pStyle w:val="Normal"/>
              <w:widowControl w:val="false"/>
              <w:rPr>
                <w:rFonts w:ascii="Calibri" w:hAnsi="Calibri" w:cs="Arial" w:asciiTheme="minorHAnsi" w:hAnsiTheme="minorHAnsi"/>
                <w:sz w:val="20"/>
              </w:rPr>
            </w:pPr>
            <w:r>
              <w:rPr>
                <w:rFonts w:cs="Arial" w:ascii="Calibri" w:hAnsi="Calibri"/>
                <w:sz w:val="20"/>
              </w:rPr>
            </w:r>
          </w:p>
        </w:tc>
      </w:tr>
      <w:tr>
        <w:trPr>
          <w:trHeight w:val="529"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Metoda savjetovanja:</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Calibri" w:hAnsi="Calibri" w:asciiTheme="minorHAnsi" w:hAnsiTheme="minorHAnsi"/>
                <w:sz w:val="20"/>
                <w:szCs w:val="20"/>
              </w:rPr>
              <w:t>Internetski, putem službenih mrežnih stranica Općine Hrvatska Dubica</w:t>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Obrazloženje:</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Zadnjim izmjenama i dopunama Zakona o lokalnim porezima, objavljenim u („Narodne novine“, broj: 114/23., utvrđene su ine izmjene o poreznim propisima kojima su naložene obveze predstavničkim tijelima jedinica lokalne samouprave za donošenje odgovarajućih akata.</w:t>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Među inima, odredbom članka 6. citiranoga Zakona, brisan je raniji naziv odjeljka i članak 21. istoga Zakona (odredbe o prirezu poreza na dohodak).</w:t>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 xml:space="preserve">Prema citiranomu Zakonu jedinice lokalne samouprave su dužne svoje akte usklađene s tim izmjenama do 15. prosinca 2023. </w:t>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Općina Hrvatska Dubica prema sada važećoj Odluci općinskim  porezima Općine Hrvatska Dubica ima utvrđene sljedeće poreze: 1. Prirez porezu na dohodak (3%), 2. Porez na potrošnju (3%) i 2.Porez na kuće za odmor (0,66 eura/m</w:t>
            </w:r>
            <w:r>
              <w:rPr>
                <w:rFonts w:ascii="Calibri" w:hAnsi="Calibri" w:asciiTheme="minorHAnsi" w:hAnsiTheme="minorHAnsi"/>
                <w:sz w:val="18"/>
                <w:szCs w:val="18"/>
                <w:vertAlign w:val="superscript"/>
              </w:rPr>
              <w:t>2</w:t>
            </w:r>
            <w:r>
              <w:rPr>
                <w:rFonts w:ascii="Calibri" w:hAnsi="Calibri" w:asciiTheme="minorHAnsi" w:hAnsiTheme="minorHAnsi"/>
                <w:sz w:val="18"/>
                <w:szCs w:val="18"/>
              </w:rPr>
              <w:t xml:space="preserve">). </w:t>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 xml:space="preserve">Slijedom navedenoga, a obzirom da je važeća Odluka o općinskim porezima Općine Hrvatska Dubica, koja je donesena 2017. godine, do sada već imala dvoje izmjene, držimo da je, iz praktičnih razloga, uputno umjesto sljedeće izmjene predmetne odluke donijeti novu Odluku o općinskim porezima Općine Hrvatska Dubica. Novom cjelovitom odlukom obuhvatile bi se sve relevantne izmjene i dopune propisa, a ista bi, sukladno propisima, stupila na snagu 1. siječnja 2024. čime bi ujedno prestala važiti dosadašnja Odluka o porezima („Službeni vjesnik“ broj: 70/17., 82/19. i 74/23.) uključivo i odredbe o prirezu poreza na dohodak koje će prestati važiti donošenjem nove Odluke o općinskim porezima Općine Hrvatska Dubica </w:t>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Calibri" w:hAnsi="Calibri" w:asciiTheme="minorHAnsi" w:hAnsiTheme="minorHAnsi"/>
                <w:sz w:val="18"/>
                <w:szCs w:val="18"/>
              </w:rPr>
              <w:t xml:space="preserve">Budući nije donesena posebna odluka o prirezu poreza na dohodak nema utemeljenja za donošenje posebne odluke o stavljanju izvan snage te odluke.  </w:t>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Default"/>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Ime i prezime osobe odnosno naziv predstavnika zainteresirane javnosti koja daje svoje primjedbe i prijedloge na predloženi nacrt predmetnoga općeg akta</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Theme="minorHAnsi" w:hAnsiTheme="minorHAnsi" w:ascii="Calibri" w:hAnsi="Calibri"/>
                <w:sz w:val="20"/>
                <w:szCs w:val="20"/>
              </w:rPr>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Načelne primjedbe i prijedlozi na predloženi nacrt akta s obrazloženjem:</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Theme="minorHAnsi" w:hAnsiTheme="minorHAnsi" w:ascii="Calibri" w:hAnsi="Calibri"/>
                <w:sz w:val="20"/>
                <w:szCs w:val="20"/>
              </w:rPr>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Primjedbe i prijedlozi na pojedine članke nacrta prijedloga akta s obrazloženjem:</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Theme="minorHAnsi" w:hAnsiTheme="minorHAnsi" w:ascii="Calibri" w:hAnsi="Calibri"/>
                <w:sz w:val="20"/>
                <w:szCs w:val="20"/>
              </w:rPr>
            </w:r>
          </w:p>
        </w:tc>
      </w:tr>
      <w:tr>
        <w:trPr>
          <w:trHeight w:val="845" w:hRule="atLeast"/>
        </w:trPr>
        <w:tc>
          <w:tcPr>
            <w:tcW w:w="4502" w:type="dxa"/>
            <w:tcBorders>
              <w:top w:val="single" w:sz="12" w:space="0" w:color="000000"/>
              <w:left w:val="single" w:sz="18" w:space="0" w:color="000000"/>
              <w:bottom w:val="single" w:sz="12"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Ime i prezime osobe (ili osoba) koja je sastavljala primjedbe i prijedloge ili osobe koja predstavlja zainteresiranu javnost, e-mail ili drugi podaci za kontakt:</w:t>
            </w:r>
          </w:p>
        </w:tc>
        <w:tc>
          <w:tcPr>
            <w:tcW w:w="5528" w:type="dxa"/>
            <w:tcBorders>
              <w:top w:val="single" w:sz="12" w:space="0" w:color="000000"/>
              <w:left w:val="single" w:sz="12" w:space="0" w:color="000000"/>
              <w:bottom w:val="single" w:sz="12"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Theme="minorHAnsi" w:hAnsiTheme="minorHAnsi" w:ascii="Calibri" w:hAnsi="Calibri"/>
                <w:sz w:val="20"/>
                <w:szCs w:val="20"/>
              </w:rPr>
            </w:r>
          </w:p>
        </w:tc>
      </w:tr>
      <w:tr>
        <w:trPr>
          <w:trHeight w:val="232" w:hRule="atLeast"/>
        </w:trPr>
        <w:tc>
          <w:tcPr>
            <w:tcW w:w="4502" w:type="dxa"/>
            <w:tcBorders>
              <w:top w:val="single" w:sz="12" w:space="0" w:color="000000"/>
              <w:left w:val="single" w:sz="18" w:space="0" w:color="000000"/>
              <w:bottom w:val="single" w:sz="4" w:space="0" w:color="000000"/>
              <w:right w:val="single" w:sz="12" w:space="0" w:color="000000"/>
            </w:tcBorders>
          </w:tcPr>
          <w:p>
            <w:pPr>
              <w:pStyle w:val="Normal"/>
              <w:widowControl w:val="false"/>
              <w:rPr>
                <w:rFonts w:ascii="Calibri" w:hAnsi="Calibri" w:cs="Calibri" w:asciiTheme="minorHAnsi" w:cstheme="minorHAnsi" w:hAnsiTheme="minorHAnsi"/>
                <w:sz w:val="20"/>
              </w:rPr>
            </w:pPr>
            <w:r>
              <w:rPr>
                <w:rFonts w:cs="Calibri" w:ascii="Calibri" w:hAnsi="Calibri" w:asciiTheme="minorHAnsi" w:cstheme="minorHAnsi" w:hAnsiTheme="minorHAnsi"/>
                <w:sz w:val="20"/>
              </w:rPr>
              <w:t>Jeste li suglasni da se ovaj obrazac s imenom/nazivom sudionika savjetovanja, objavi na mrežnim stranicama Općine Hrvatska Dubica</w:t>
            </w:r>
          </w:p>
        </w:tc>
        <w:tc>
          <w:tcPr>
            <w:tcW w:w="5528" w:type="dxa"/>
            <w:tcBorders>
              <w:top w:val="single" w:sz="12" w:space="0" w:color="000000"/>
              <w:left w:val="single" w:sz="12" w:space="0" w:color="000000"/>
              <w:bottom w:val="single" w:sz="4" w:space="0" w:color="000000"/>
              <w:right w:val="single" w:sz="18" w:space="0" w:color="000000"/>
            </w:tcBorders>
            <w:vAlign w:val="center"/>
          </w:tcPr>
          <w:p>
            <w:pPr>
              <w:pStyle w:val="Default"/>
              <w:widowControl w:val="false"/>
              <w:jc w:val="center"/>
              <w:rPr>
                <w:rFonts w:ascii="Calibri" w:hAnsi="Calibri" w:asciiTheme="minorHAnsi" w:hAnsiTheme="minorHAnsi"/>
                <w:sz w:val="20"/>
                <w:szCs w:val="20"/>
              </w:rPr>
            </w:pPr>
            <w:r>
              <w:rPr>
                <w:rFonts w:ascii="Calibri" w:hAnsi="Calibri" w:asciiTheme="minorHAnsi" w:hAnsiTheme="minorHAnsi"/>
                <w:sz w:val="20"/>
                <w:szCs w:val="20"/>
              </w:rPr>
              <w:t>DA / NE</w:t>
            </w:r>
          </w:p>
          <w:p>
            <w:pPr>
              <w:pStyle w:val="Default"/>
              <w:widowControl w:val="false"/>
              <w:jc w:val="center"/>
              <w:rPr>
                <w:rFonts w:ascii="Calibri" w:hAnsi="Calibri" w:asciiTheme="minorHAnsi" w:hAnsiTheme="minorHAnsi"/>
                <w:sz w:val="20"/>
                <w:szCs w:val="20"/>
              </w:rPr>
            </w:pPr>
            <w:r>
              <w:rPr>
                <w:rFonts w:ascii="Calibri" w:hAnsi="Calibri" w:asciiTheme="minorHAnsi" w:hAnsiTheme="minorHAnsi"/>
                <w:sz w:val="20"/>
                <w:szCs w:val="20"/>
              </w:rPr>
              <w:t>(nepotrebno prekrižiti)</w:t>
            </w:r>
          </w:p>
        </w:tc>
      </w:tr>
      <w:tr>
        <w:trPr>
          <w:trHeight w:val="392" w:hRule="atLeast"/>
        </w:trPr>
        <w:tc>
          <w:tcPr>
            <w:tcW w:w="4502" w:type="dxa"/>
            <w:tcBorders>
              <w:top w:val="single" w:sz="4" w:space="0" w:color="000000"/>
              <w:left w:val="single" w:sz="18" w:space="0" w:color="000000"/>
              <w:bottom w:val="single" w:sz="4"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sz w:val="20"/>
              </w:rPr>
            </w:r>
          </w:p>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Kontakt:</w:t>
            </w:r>
          </w:p>
        </w:tc>
        <w:tc>
          <w:tcPr>
            <w:tcW w:w="5528" w:type="dxa"/>
            <w:tcBorders>
              <w:top w:val="single" w:sz="4" w:space="0" w:color="000000"/>
              <w:left w:val="single" w:sz="12" w:space="0" w:color="000000"/>
              <w:bottom w:val="single" w:sz="4"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Calibri" w:hAnsi="Calibri" w:asciiTheme="minorHAnsi" w:hAnsiTheme="minorHAnsi"/>
                <w:sz w:val="20"/>
                <w:szCs w:val="20"/>
              </w:rPr>
              <w:t>e-mail:</w:t>
            </w:r>
          </w:p>
          <w:p>
            <w:pPr>
              <w:pStyle w:val="Default"/>
              <w:widowControl w:val="false"/>
              <w:rPr>
                <w:rFonts w:ascii="Calibri" w:hAnsi="Calibri" w:asciiTheme="minorHAnsi" w:hAnsiTheme="minorHAnsi"/>
                <w:sz w:val="20"/>
                <w:szCs w:val="20"/>
              </w:rPr>
            </w:pPr>
            <w:r>
              <w:rPr>
                <w:rFonts w:ascii="Calibri" w:hAnsi="Calibri" w:asciiTheme="minorHAnsi" w:hAnsiTheme="minorHAnsi"/>
                <w:sz w:val="20"/>
                <w:szCs w:val="20"/>
              </w:rPr>
              <w:t xml:space="preserve">telefon: </w:t>
            </w:r>
          </w:p>
        </w:tc>
      </w:tr>
      <w:tr>
        <w:trPr>
          <w:trHeight w:val="570" w:hRule="atLeast"/>
        </w:trPr>
        <w:tc>
          <w:tcPr>
            <w:tcW w:w="4502" w:type="dxa"/>
            <w:tcBorders>
              <w:top w:val="single" w:sz="4" w:space="0" w:color="000000"/>
              <w:left w:val="single" w:sz="18" w:space="0" w:color="000000"/>
              <w:bottom w:val="single" w:sz="18" w:space="0" w:color="000000"/>
              <w:right w:val="single" w:sz="12" w:space="0" w:color="000000"/>
            </w:tcBorders>
            <w:vAlign w:val="center"/>
          </w:tcPr>
          <w:p>
            <w:pPr>
              <w:pStyle w:val="Normal"/>
              <w:widowControl w:val="false"/>
              <w:rPr>
                <w:rFonts w:ascii="Calibri" w:hAnsi="Calibri" w:cs="Arial" w:asciiTheme="minorHAnsi" w:hAnsiTheme="minorHAnsi"/>
                <w:sz w:val="20"/>
              </w:rPr>
            </w:pPr>
            <w:r>
              <w:rPr>
                <w:rFonts w:cs="Arial" w:ascii="Calibri" w:hAnsi="Calibri"/>
                <w:sz w:val="20"/>
              </w:rPr>
            </w:r>
          </w:p>
          <w:p>
            <w:pPr>
              <w:pStyle w:val="Normal"/>
              <w:widowControl w:val="false"/>
              <w:rPr>
                <w:rFonts w:ascii="Calibri" w:hAnsi="Calibri" w:cs="Arial" w:asciiTheme="minorHAnsi" w:hAnsiTheme="minorHAnsi"/>
                <w:sz w:val="20"/>
              </w:rPr>
            </w:pPr>
            <w:r>
              <w:rPr>
                <w:rFonts w:cs="Arial" w:ascii="Calibri" w:hAnsi="Calibri" w:asciiTheme="minorHAnsi" w:hAnsiTheme="minorHAnsi"/>
                <w:sz w:val="20"/>
              </w:rPr>
              <w:t>Datum dostavljanja</w:t>
            </w:r>
          </w:p>
        </w:tc>
        <w:tc>
          <w:tcPr>
            <w:tcW w:w="5528" w:type="dxa"/>
            <w:tcBorders>
              <w:top w:val="single" w:sz="4" w:space="0" w:color="000000"/>
              <w:left w:val="single" w:sz="12" w:space="0" w:color="000000"/>
              <w:bottom w:val="single" w:sz="18" w:space="0" w:color="000000"/>
              <w:right w:val="single" w:sz="18" w:space="0" w:color="000000"/>
            </w:tcBorders>
            <w:vAlign w:val="center"/>
          </w:tcPr>
          <w:p>
            <w:pPr>
              <w:pStyle w:val="Default"/>
              <w:widowControl w:val="false"/>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jc w:val="center"/>
        <w:rPr>
          <w:rFonts w:ascii="Calibri" w:hAnsi="Calibri" w:cs="Arial" w:asciiTheme="minorHAnsi" w:hAnsiTheme="minorHAnsi"/>
          <w:sz w:val="20"/>
        </w:rPr>
      </w:pPr>
      <w:r>
        <w:rPr>
          <w:rFonts w:cs="Arial" w:ascii="Calibri" w:hAnsi="Calibri"/>
          <w:sz w:val="20"/>
        </w:rPr>
      </w:r>
    </w:p>
    <w:p>
      <w:pPr>
        <w:pStyle w:val="Normal"/>
        <w:jc w:val="both"/>
        <w:rPr>
          <w:rFonts w:ascii="Calibri" w:hAnsi="Calibri" w:cs="Arial" w:asciiTheme="minorHAnsi" w:hAnsiTheme="minorHAnsi"/>
          <w:sz w:val="20"/>
        </w:rPr>
      </w:pPr>
      <w:r>
        <w:rPr>
          <w:rFonts w:cs="Arial" w:ascii="Calibri" w:hAnsi="Calibri"/>
          <w:sz w:val="20"/>
        </w:rPr>
      </w:r>
    </w:p>
    <w:p>
      <w:pPr>
        <w:pStyle w:val="Normal"/>
        <w:jc w:val="both"/>
        <w:rPr>
          <w:rFonts w:ascii="Calibri" w:hAnsi="Calibri" w:cs="Arial" w:asciiTheme="minorHAnsi" w:hAnsiTheme="minorHAnsi"/>
          <w:sz w:val="20"/>
        </w:rPr>
      </w:pPr>
      <w:r>
        <w:rPr>
          <w:rFonts w:cs="Arial" w:ascii="Calibri" w:hAnsi="Calibri" w:asciiTheme="minorHAnsi" w:hAnsiTheme="minorHAnsi"/>
          <w:sz w:val="20"/>
        </w:rPr>
        <w:t>Napomena:</w:t>
      </w:r>
    </w:p>
    <w:p>
      <w:pPr>
        <w:pStyle w:val="Normal"/>
        <w:jc w:val="both"/>
        <w:rPr>
          <w:rFonts w:ascii="Calibri" w:hAnsi="Calibri" w:cs="Arial" w:asciiTheme="minorHAnsi" w:hAnsiTheme="minorHAnsi"/>
          <w:sz w:val="20"/>
        </w:rPr>
      </w:pPr>
      <w:r>
        <w:rPr>
          <w:rFonts w:cs="Arial" w:ascii="Calibri" w:hAnsi="Calibri" w:asciiTheme="minorHAnsi" w:hAnsiTheme="minorHAnsi"/>
          <w:sz w:val="20"/>
        </w:rPr>
        <w:t xml:space="preserve">Popunjeni obrazac dostaviti na adresu elektroničke pošte: </w:t>
      </w:r>
      <w:hyperlink r:id="rId2">
        <w:r>
          <w:rPr>
            <w:rStyle w:val="InternetLink"/>
          </w:rPr>
          <w:t>procelnica@hrvatska-dubica.hr</w:t>
        </w:r>
      </w:hyperlink>
      <w:r>
        <w:rPr/>
        <w:t xml:space="preserve">, </w:t>
      </w:r>
      <w:r>
        <w:rPr>
          <w:rFonts w:cs="Arial" w:ascii="Calibri" w:hAnsi="Calibri" w:asciiTheme="minorHAnsi" w:hAnsiTheme="minorHAnsi"/>
          <w:sz w:val="20"/>
        </w:rPr>
        <w:t>zaključno do 24. studenoga 2023.</w:t>
      </w:r>
    </w:p>
    <w:p>
      <w:pPr>
        <w:pStyle w:val="Normal"/>
        <w:jc w:val="both"/>
        <w:rPr>
          <w:rFonts w:ascii="Calibri" w:hAnsi="Calibri" w:cs="Arial" w:asciiTheme="minorHAnsi" w:hAnsiTheme="minorHAnsi"/>
          <w:sz w:val="20"/>
        </w:rPr>
      </w:pPr>
      <w:r>
        <w:rPr>
          <w:rFonts w:cs="Arial" w:ascii="Calibri" w:hAnsi="Calibri" w:asciiTheme="minorHAnsi" w:hAnsiTheme="minorHAnsi"/>
          <w:sz w:val="20"/>
        </w:rPr>
        <w:t xml:space="preserve">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 Općina Hrvatska Dubica kao voditelj obrade obrađuje osobne podatke isključivo u svrhu ostvarenja prava sudionika savjetovanja/ispitanika na sudjelovanje u postupku savjetovanja s javnošću, uz napomenu kako je takva obrada nužna zbog zakonitog provođenja predmetnog postupka. </w:t>
      </w:r>
    </w:p>
    <w:p>
      <w:pPr>
        <w:pStyle w:val="Normal"/>
        <w:jc w:val="both"/>
        <w:rPr>
          <w:rFonts w:ascii="Calibri" w:hAnsi="Calibri" w:cs="Arial" w:asciiTheme="minorHAnsi" w:hAnsiTheme="minorHAnsi"/>
          <w:sz w:val="20"/>
        </w:rPr>
      </w:pPr>
      <w:r>
        <w:rPr>
          <w:rFonts w:cs="Arial" w:ascii="Calibri" w:hAnsi="Calibri" w:asciiTheme="minorHAnsi" w:hAnsiTheme="minorHAnsi"/>
          <w:sz w:val="20"/>
        </w:rPr>
        <w:t>Pravna osnova za obavljanje djelatnosti, a time i obradu osobnih podataka sudionika savjetovanja/ispitanika, proizlazi iz Zakona o pravu na pristup informacijama („Narodne novine“, broj 25/13., 85/15. i 69/22.).</w:t>
      </w:r>
    </w:p>
    <w:p>
      <w:pPr>
        <w:pStyle w:val="Normal"/>
        <w:jc w:val="both"/>
        <w:rPr>
          <w:rFonts w:ascii="Calibri" w:hAnsi="Calibri" w:cs="Arial" w:asciiTheme="minorHAnsi" w:hAnsiTheme="minorHAnsi"/>
          <w:sz w:val="20"/>
        </w:rPr>
      </w:pPr>
      <w:r>
        <w:rPr>
          <w:rFonts w:cs="Arial" w:ascii="Calibri" w:hAnsi="Calibri" w:asciiTheme="minorHAnsi" w:hAnsiTheme="minorHAnsi"/>
          <w:sz w:val="20"/>
        </w:rPr>
        <w:t xml:space="preserve">Sudionik savjetovanja/ispitanik, budući da je obrada podataka nužna za provođenje zadaće koja se obavlja zbog javnog interesa, odnosno pri izvršavanju službene ovlasti voditelja obrade, može u smislu članka 21. stavka 6. Opće uredbe o zaštiti podataka podnijeti prigovor.  </w:t>
      </w:r>
    </w:p>
    <w:p>
      <w:pPr>
        <w:pStyle w:val="Normal"/>
        <w:jc w:val="both"/>
        <w:rPr>
          <w:rFonts w:ascii="Calibri" w:hAnsi="Calibri" w:cs="Arial" w:asciiTheme="minorHAnsi" w:hAnsiTheme="minorHAnsi"/>
          <w:sz w:val="20"/>
        </w:rPr>
      </w:pPr>
      <w:r>
        <w:rPr>
          <w:rFonts w:cs="Arial" w:ascii="Calibri" w:hAnsi="Calibri" w:asciiTheme="minorHAnsi" w:hAnsiTheme="minorHAnsi"/>
          <w:sz w:val="20"/>
        </w:rPr>
        <w:t>Sudionik savjetovanja/ispitanik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u pravilu ne primjenjuje pravo na prenosivost podataka.</w:t>
      </w:r>
    </w:p>
    <w:p>
      <w:pPr>
        <w:pStyle w:val="Normal"/>
        <w:jc w:val="both"/>
        <w:rPr>
          <w:rFonts w:ascii="Calibri" w:hAnsi="Calibri" w:cs="Arial" w:asciiTheme="minorHAnsi" w:hAnsiTheme="minorHAnsi"/>
          <w:sz w:val="20"/>
        </w:rPr>
      </w:pPr>
      <w:r>
        <w:rPr>
          <w:bCs/>
          <w:sz w:val="20"/>
        </w:rPr>
        <w:t>Osim svrhe za koju je dana privola, prikupljeni osobni podatci neće se koristiti u druge svrhe.</w:t>
      </w:r>
    </w:p>
    <w:p>
      <w:pPr>
        <w:pStyle w:val="Normal"/>
        <w:jc w:val="both"/>
        <w:rPr>
          <w:rFonts w:ascii="Calibri" w:hAnsi="Calibri" w:cs="Arial" w:asciiTheme="minorHAnsi" w:hAnsiTheme="minorHAnsi"/>
          <w:sz w:val="20"/>
        </w:rPr>
      </w:pPr>
      <w:r>
        <w:rPr>
          <w:rFonts w:cs="Arial" w:ascii="Calibri" w:hAnsi="Calibri"/>
          <w:sz w:val="20"/>
        </w:rPr>
      </w:r>
    </w:p>
    <w:p>
      <w:pPr>
        <w:pStyle w:val="Normal"/>
        <w:jc w:val="both"/>
        <w:rPr>
          <w:rFonts w:ascii="Calibri" w:hAnsi="Calibri" w:cs="Arial" w:asciiTheme="minorHAnsi" w:hAnsiTheme="minorHAnsi"/>
          <w:sz w:val="20"/>
        </w:rPr>
      </w:pPr>
      <w:r>
        <w:rPr>
          <w:rFonts w:cs="Arial" w:ascii="Calibri" w:hAnsi="Calibri" w:asciiTheme="minorHAnsi" w:hAnsiTheme="minorHAnsi"/>
          <w:sz w:val="20"/>
        </w:rPr>
        <w:t xml:space="preserve">Po završetku savjetovanja, sve pristigle primjedbe/prijedlozi biti će javno dostupni na mrežnim stranicama Općine Hrvatska Dubica. Ukoliko ne želite da Vaši osobni podaci (ime i prezime) budu javno objavljeni, molimo da to jasno istaknete pri slanju obrasca. </w:t>
      </w:r>
    </w:p>
    <w:p>
      <w:pPr>
        <w:pStyle w:val="Normal"/>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024a"/>
    <w:pPr>
      <w:widowControl/>
      <w:bidi w:val="0"/>
      <w:spacing w:lineRule="auto" w:line="240" w:before="0" w:after="0"/>
      <w:jc w:val="left"/>
    </w:pPr>
    <w:rPr>
      <w:rFonts w:ascii="Times New Roman" w:hAnsi="Times New Roman" w:eastAsia="Times New Roman" w:cs="Times New Roman"/>
      <w:color w:val="auto"/>
      <w:kern w:val="0"/>
      <w:sz w:val="22"/>
      <w:szCs w:val="20"/>
      <w:lang w:val="hr-HR" w:eastAsia="hr-HR" w:bidi="ar-SA"/>
      <w14:ligatures w14:val="none"/>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5024a"/>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75024a"/>
    <w:pPr>
      <w:widowControl/>
      <w:bidi w:val="0"/>
      <w:spacing w:lineRule="auto" w:line="240" w:before="0" w:after="0"/>
      <w:jc w:val="left"/>
    </w:pPr>
    <w:rPr>
      <w:rFonts w:ascii="Times New Roman" w:hAnsi="Times New Roman" w:eastAsia="Times New Roman" w:cs="Times New Roman"/>
      <w:color w:val="auto"/>
      <w:kern w:val="0"/>
      <w:sz w:val="24"/>
      <w:szCs w:val="24"/>
      <w:lang w:val="hr-HR" w:eastAsia="hr-HR" w:bidi="ar-SA"/>
      <w14:ligatures w14:val="none"/>
    </w:rPr>
  </w:style>
  <w:style w:type="paragraph" w:styleId="Default" w:customStyle="1">
    <w:name w:val="Default"/>
    <w:qFormat/>
    <w:rsid w:val="0075024a"/>
    <w:pPr>
      <w:widowControl/>
      <w:bidi w:val="0"/>
      <w:spacing w:lineRule="auto" w:line="240" w:before="0" w:after="0"/>
      <w:jc w:val="left"/>
    </w:pPr>
    <w:rPr>
      <w:rFonts w:ascii="Times New Roman" w:hAnsi="Times New Roman" w:eastAsia="Times New Roman" w:cs="Times New Roman"/>
      <w:color w:val="000000"/>
      <w:kern w:val="0"/>
      <w:sz w:val="24"/>
      <w:szCs w:val="24"/>
      <w:lang w:val="hr-HR" w:eastAsia="hr-HR" w:bidi="ar-SA"/>
      <w14:ligatures w14:val="none"/>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celnica@hrvatska-dubica.h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LibreOffice/7.4.3.2$Windows_x86 LibreOffice_project/1048a8393ae2eeec98dff31b5c133c5f1d08b890</Application>
  <AppVersion>15.0000</AppVersion>
  <Pages>2</Pages>
  <Words>666</Words>
  <Characters>4028</Characters>
  <CharactersWithSpaces>4675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2023-10-23T12:00:00Z</dcterms:created>
  <dc:creator>Hrvatska Dubica</dc:creator>
  <dc:description/>
  <dc:language>hr-HR</dc:language>
  <cp:lastModifiedBy>Hrvatska Dubica</cp:lastModifiedBy>
  <cp:lastPrinted>2023-10-24T07:56:00Z</cp:lastPrinted>
  <dcterms:modified xsi:type="dcterms:W3CDTF">2023-10-26T11:42:00Z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